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F55" w:rsidRPr="008A06FC" w:rsidRDefault="00217F55" w:rsidP="008A06FC">
      <w:pPr>
        <w:bidi/>
        <w:spacing w:before="100" w:beforeAutospacing="1" w:after="100" w:afterAutospacing="1" w:line="240" w:lineRule="auto"/>
        <w:jc w:val="center"/>
        <w:outlineLvl w:val="1"/>
        <w:rPr>
          <w:rFonts w:ascii="Times New Roman" w:eastAsia="Times New Roman" w:hAnsi="Times New Roman" w:cs="DecoType Naskh"/>
          <w:b/>
          <w:bCs/>
          <w:sz w:val="44"/>
          <w:szCs w:val="44"/>
          <w:lang w:eastAsia="tr-TR"/>
        </w:rPr>
      </w:pPr>
      <w:r w:rsidRPr="008A06FC">
        <w:rPr>
          <w:rFonts w:ascii="Times New Roman" w:eastAsia="Times New Roman" w:hAnsi="Times New Roman" w:cs="DecoType Naskh" w:hint="cs"/>
          <w:b/>
          <w:bCs/>
          <w:sz w:val="44"/>
          <w:szCs w:val="44"/>
          <w:rtl/>
          <w:lang w:eastAsia="tr-TR"/>
        </w:rPr>
        <w:t>أحكام أهل الذمة في الدولة الإسلامية</w:t>
      </w:r>
    </w:p>
    <w:p w:rsidR="008A06FC" w:rsidRPr="008A06FC" w:rsidRDefault="008A06FC" w:rsidP="008A06FC">
      <w:pPr>
        <w:bidi/>
        <w:spacing w:before="100" w:beforeAutospacing="1" w:after="100" w:afterAutospacing="1" w:line="240" w:lineRule="auto"/>
        <w:jc w:val="center"/>
        <w:outlineLvl w:val="1"/>
        <w:rPr>
          <w:rFonts w:ascii="Times New Roman" w:eastAsia="Times New Roman" w:hAnsi="Times New Roman" w:cs="DecoType Naskh"/>
          <w:b/>
          <w:bCs/>
          <w:sz w:val="28"/>
          <w:szCs w:val="28"/>
          <w:lang w:eastAsia="tr-TR"/>
        </w:rPr>
      </w:pPr>
      <w:r w:rsidRPr="008A06FC">
        <w:rPr>
          <w:rFonts w:ascii="Times New Roman" w:eastAsia="Times New Roman" w:hAnsi="Times New Roman" w:cs="DecoType Naskh"/>
          <w:b/>
          <w:bCs/>
          <w:sz w:val="28"/>
          <w:szCs w:val="28"/>
          <w:lang w:eastAsia="tr-TR"/>
        </w:rPr>
        <w:t>http://www.ibnamin.com/dhimmi.htm</w:t>
      </w:r>
    </w:p>
    <w:p w:rsidR="00217F55" w:rsidRPr="008A06FC" w:rsidRDefault="00217F55" w:rsidP="008A06FC">
      <w:pPr>
        <w:bidi/>
        <w:spacing w:before="100" w:beforeAutospacing="1" w:after="100" w:afterAutospacing="1" w:line="240" w:lineRule="auto"/>
        <w:jc w:val="both"/>
        <w:rPr>
          <w:rFonts w:ascii="Times New Roman" w:eastAsia="Times New Roman" w:hAnsi="Times New Roman" w:cs="DecoType Naskh"/>
          <w:sz w:val="30"/>
          <w:szCs w:val="30"/>
          <w:lang w:eastAsia="tr-TR"/>
        </w:rPr>
      </w:pPr>
      <w:r w:rsidRPr="008A06FC">
        <w:rPr>
          <w:rFonts w:ascii="Times New Roman" w:eastAsia="Times New Roman" w:hAnsi="Times New Roman" w:cs="DecoType Naskh" w:hint="cs"/>
          <w:sz w:val="30"/>
          <w:szCs w:val="30"/>
          <w:rtl/>
          <w:lang w:eastAsia="tr-TR"/>
        </w:rPr>
        <w:t>قال ابن حزم في "المحلى" في شرح كلمة {صاغرون}: «الصَّغار هو أن يجري حكم الإسلام عليهم، وأن لا يُظهروا شيئاً من كفرهم، ولا مما يحرم في دين الإسلام. قال عز وجل: {وقاتلوهم حتى لا تكون فتنة ويكون الدين كله لله}». قال الشافعي في الأم (4|223): «فكان الصغار والله تعالى أع</w:t>
      </w:r>
      <w:bookmarkStart w:id="0" w:name="_GoBack"/>
      <w:bookmarkEnd w:id="0"/>
      <w:r w:rsidRPr="008A06FC">
        <w:rPr>
          <w:rFonts w:ascii="Times New Roman" w:eastAsia="Times New Roman" w:hAnsi="Times New Roman" w:cs="DecoType Naskh" w:hint="cs"/>
          <w:sz w:val="30"/>
          <w:szCs w:val="30"/>
          <w:rtl/>
          <w:lang w:eastAsia="tr-TR"/>
        </w:rPr>
        <w:t xml:space="preserve">لم أن يجرى عليهم حكم الاسلام»، وقال (4|297): «ولو حاصرنا أهل مدينة من أهل الكتاب، فعرضوا علينا أن يعطونا الجزية، لم يكن لنا قتالهم إذا </w:t>
      </w:r>
      <w:proofErr w:type="spellStart"/>
      <w:r w:rsidRPr="008A06FC">
        <w:rPr>
          <w:rFonts w:ascii="Times New Roman" w:eastAsia="Times New Roman" w:hAnsi="Times New Roman" w:cs="DecoType Naskh" w:hint="cs"/>
          <w:sz w:val="30"/>
          <w:szCs w:val="30"/>
          <w:rtl/>
          <w:lang w:eastAsia="tr-TR"/>
        </w:rPr>
        <w:t>أعطوناها</w:t>
      </w:r>
      <w:proofErr w:type="spellEnd"/>
      <w:r w:rsidRPr="008A06FC">
        <w:rPr>
          <w:rFonts w:ascii="Times New Roman" w:eastAsia="Times New Roman" w:hAnsi="Times New Roman" w:cs="DecoType Naskh" w:hint="cs"/>
          <w:sz w:val="30"/>
          <w:szCs w:val="30"/>
          <w:rtl/>
          <w:lang w:eastAsia="tr-TR"/>
        </w:rPr>
        <w:t xml:space="preserve"> وأن يجرى عليهم حكمنا. وإن قالوا </w:t>
      </w:r>
      <w:proofErr w:type="spellStart"/>
      <w:r w:rsidRPr="008A06FC">
        <w:rPr>
          <w:rFonts w:ascii="Times New Roman" w:eastAsia="Times New Roman" w:hAnsi="Times New Roman" w:cs="DecoType Naskh" w:hint="cs"/>
          <w:sz w:val="30"/>
          <w:szCs w:val="30"/>
          <w:rtl/>
          <w:lang w:eastAsia="tr-TR"/>
        </w:rPr>
        <w:t>نعطيكموها</w:t>
      </w:r>
      <w:proofErr w:type="spellEnd"/>
      <w:r w:rsidRPr="008A06FC">
        <w:rPr>
          <w:rFonts w:ascii="Times New Roman" w:eastAsia="Times New Roman" w:hAnsi="Times New Roman" w:cs="DecoType Naskh" w:hint="cs"/>
          <w:sz w:val="30"/>
          <w:szCs w:val="30"/>
          <w:rtl/>
          <w:lang w:eastAsia="tr-TR"/>
        </w:rPr>
        <w:t xml:space="preserve"> ولا يجرى علينا حكمكم، لم يلزمنا أن نقبلها منهم، لأن الله عز وجل قال {حتى يعطوا الجزية عن يد وهم صاغرون} فلم أسمع مخالفا في أن الصغار أن يعلو حكم الاسلام على حكم الشرك ويجري عليهم». قال محمد بن الحسن (كما في شرح السير الكبير 5|152): «ولأن المقصود من عقد الذمة مع أهل الحرب ليس هو المال، بل التزام الحربي أحكام الإسلام فيما يرجع إلى المعاملات</w:t>
      </w:r>
      <w:r w:rsidRPr="008A06FC">
        <w:rPr>
          <w:rFonts w:ascii="Times New Roman" w:eastAsia="Times New Roman" w:hAnsi="Times New Roman" w:cs="DecoType Naskh" w:hint="cs"/>
          <w:sz w:val="30"/>
          <w:szCs w:val="30"/>
          <w:lang w:eastAsia="tr-TR"/>
        </w:rPr>
        <w:t>».</w:t>
      </w:r>
    </w:p>
    <w:p w:rsidR="00217F55" w:rsidRPr="008A06FC" w:rsidRDefault="00217F55" w:rsidP="008A06FC">
      <w:pPr>
        <w:bidi/>
        <w:spacing w:before="100" w:beforeAutospacing="1" w:after="100" w:afterAutospacing="1" w:line="240" w:lineRule="auto"/>
        <w:jc w:val="both"/>
        <w:rPr>
          <w:rFonts w:ascii="Times New Roman" w:eastAsia="Times New Roman" w:hAnsi="Times New Roman" w:cs="DecoType Naskh"/>
          <w:sz w:val="30"/>
          <w:szCs w:val="30"/>
          <w:lang w:eastAsia="tr-TR"/>
        </w:rPr>
      </w:pPr>
      <w:r w:rsidRPr="008A06FC">
        <w:rPr>
          <w:rFonts w:ascii="Times New Roman" w:eastAsia="Times New Roman" w:hAnsi="Times New Roman" w:cs="DecoType Naskh" w:hint="cs"/>
          <w:sz w:val="30"/>
          <w:szCs w:val="30"/>
          <w:rtl/>
          <w:lang w:eastAsia="tr-TR"/>
        </w:rPr>
        <w:t>وبذلك يظهر أن المنهزمين فكريا الذين يزعمون أن دفع ضريبة تطبق على جميع المواطنين بدون شروط الذمة يغني عن دفع الجزية، لم يفهموا المقصود منها، لأن المطلوب منها هو الصغار الذي هو الخضوع لحكم الإسلام</w:t>
      </w:r>
      <w:r w:rsidRPr="008A06FC">
        <w:rPr>
          <w:rFonts w:ascii="Times New Roman" w:eastAsia="Times New Roman" w:hAnsi="Times New Roman" w:cs="DecoType Naskh" w:hint="cs"/>
          <w:sz w:val="30"/>
          <w:szCs w:val="30"/>
          <w:lang w:eastAsia="tr-TR"/>
        </w:rPr>
        <w:t>.</w:t>
      </w:r>
    </w:p>
    <w:p w:rsidR="00217F55" w:rsidRPr="008A06FC" w:rsidRDefault="00217F55" w:rsidP="008A06FC">
      <w:pPr>
        <w:bidi/>
        <w:spacing w:before="100" w:beforeAutospacing="1" w:after="100" w:afterAutospacing="1" w:line="240" w:lineRule="auto"/>
        <w:jc w:val="both"/>
        <w:rPr>
          <w:rFonts w:ascii="Times New Roman" w:eastAsia="Times New Roman" w:hAnsi="Times New Roman" w:cs="DecoType Naskh"/>
          <w:sz w:val="30"/>
          <w:szCs w:val="30"/>
          <w:lang w:eastAsia="tr-TR"/>
        </w:rPr>
      </w:pPr>
      <w:r w:rsidRPr="008A06FC">
        <w:rPr>
          <w:rFonts w:ascii="Times New Roman" w:eastAsia="Times New Roman" w:hAnsi="Times New Roman" w:cs="DecoType Naskh" w:hint="cs"/>
          <w:sz w:val="30"/>
          <w:szCs w:val="30"/>
          <w:rtl/>
          <w:lang w:eastAsia="tr-TR"/>
        </w:rPr>
        <w:t>قال شيخ الإسلام في الصارم المسلول (ص11): «قوله تعالى: {قَاتِلُوا الَّذِينَ لا يُؤْمِنُونَ بِاللَّهِ وَلا بِالْيَوْمِ الآخِر} إلى قوله تعالى: {مِنَ الَّذِينَ أُوتُوا الْكِتَابَ حَتَّى يُعْطُوا الْجِزْيَةَ عَنْ يَدٍ وَهُمْ صَاغِرُونَ} فأمرنا بقتالهم إلى أن يعطوا الجزية وهم صاغرون. ولا يجوز الإمساك عن قتالهم، إلا إذا كانوا صاغرين حال إعطائهم الجزية». حتى قال: «وإذا كان قتالهم واجبا علينا إلا أن يكونوا صاغرين وليسوا بصاغرين، كان القتال مأمورا به. وكل من أُمِرنا بقتاله من الكفار، فإنه يُقتلُ إذا قدِرنا عليه. وأيضا فإنا إذا كنا مأمورين أن نقاتلهم إلى هذه الغاية، لم يجز أن نعقد لهم عهد الذمة بدونها. ولو عُقِدَ لهم، كان عقدا فاسدا، فيبقون على الإباحة». وقال «ولا يقال فيهم: "فهم يحسبون أنهم معاهدون فتصير لهم شبهة أمان" ... فدعواهم أنهم اعتقدوا أنا عاهدناهم على مثل هذا، مع اشتراطنا عليهم أن يكونوا صاغرين تجري عليهم أحكام الملة، دعوى كاذبة. فلا يُلتفتُ إليها</w:t>
      </w:r>
      <w:r w:rsidRPr="008A06FC">
        <w:rPr>
          <w:rFonts w:ascii="Times New Roman" w:eastAsia="Times New Roman" w:hAnsi="Times New Roman" w:cs="DecoType Naskh" w:hint="cs"/>
          <w:sz w:val="30"/>
          <w:szCs w:val="30"/>
          <w:lang w:eastAsia="tr-TR"/>
        </w:rPr>
        <w:t>».</w:t>
      </w:r>
    </w:p>
    <w:p w:rsidR="00217F55" w:rsidRPr="008A06FC" w:rsidRDefault="00217F55" w:rsidP="008A06FC">
      <w:pPr>
        <w:bidi/>
        <w:spacing w:before="100" w:beforeAutospacing="1" w:after="100" w:afterAutospacing="1" w:line="240" w:lineRule="auto"/>
        <w:jc w:val="both"/>
        <w:rPr>
          <w:rFonts w:ascii="Times New Roman" w:eastAsia="Times New Roman" w:hAnsi="Times New Roman" w:cs="DecoType Naskh"/>
          <w:sz w:val="30"/>
          <w:szCs w:val="30"/>
          <w:lang w:eastAsia="tr-TR"/>
        </w:rPr>
      </w:pPr>
      <w:r w:rsidRPr="008A06FC">
        <w:rPr>
          <w:rFonts w:ascii="Times New Roman" w:eastAsia="Times New Roman" w:hAnsi="Times New Roman" w:cs="DecoType Naskh" w:hint="cs"/>
          <w:sz w:val="30"/>
          <w:szCs w:val="30"/>
          <w:rtl/>
          <w:lang w:eastAsia="tr-TR"/>
        </w:rPr>
        <w:lastRenderedPageBreak/>
        <w:t>وقال ابن حزم في الإحكام (3|157): «وأما الصغار عليهم، فإن النص قد ورد بإلزامه إياهم. فكل ما وقع عليه اسم صغار فنحن نأتيه فيهم إلا ما منعنا منه نص أو إجماع فقط. ولذلك أبحنا دماءهم إن ركبوا فرسا أو حملوا سلاحا أو تكنوا بكنى المسلمين أو تشبهوا بهم أو سبوا مسلما أو أهانوه أو خالفوا شيئا من الشروط التي قد جمعناها في كتاب ذي القواعد». وقال بالمحلى (12|420): «وأما الذمي - إذا أضر بمسلم، فلقول الله تعالى {حتى يعطوا الجزية عن يد وهم صاغرون} فإنما حرمت دماء أهل الكتاب بالتزام الصغار، فإذا فارقوا الصغار فقد برئت ذمتهم، وسقط تحريم دمائهم، وعادت حلالا كما كانت، لأن الله تعالى أباح دماءهم أبدا إلا بالصغار، فإذا لم يكن الصغار فدماؤهم لم تحرم، وهم إذا أضروا بمسلم فلم يصغر وهم وقد أصغروه، فدماؤهم حلال</w:t>
      </w:r>
      <w:r w:rsidRPr="008A06FC">
        <w:rPr>
          <w:rFonts w:ascii="Times New Roman" w:eastAsia="Times New Roman" w:hAnsi="Times New Roman" w:cs="DecoType Naskh" w:hint="cs"/>
          <w:sz w:val="30"/>
          <w:szCs w:val="30"/>
          <w:lang w:eastAsia="tr-TR"/>
        </w:rPr>
        <w:t>».</w:t>
      </w:r>
    </w:p>
    <w:p w:rsidR="00217F55" w:rsidRPr="008A06FC" w:rsidRDefault="00217F55" w:rsidP="008A06FC">
      <w:pPr>
        <w:bidi/>
        <w:spacing w:before="100" w:beforeAutospacing="1" w:after="100" w:afterAutospacing="1" w:line="240" w:lineRule="auto"/>
        <w:jc w:val="both"/>
        <w:rPr>
          <w:rFonts w:ascii="Times New Roman" w:eastAsia="Times New Roman" w:hAnsi="Times New Roman" w:cs="DecoType Naskh"/>
          <w:sz w:val="30"/>
          <w:szCs w:val="30"/>
          <w:lang w:eastAsia="tr-TR"/>
        </w:rPr>
      </w:pPr>
      <w:r w:rsidRPr="008A06FC">
        <w:rPr>
          <w:rFonts w:ascii="Times New Roman" w:eastAsia="Times New Roman" w:hAnsi="Times New Roman" w:cs="DecoType Naskh" w:hint="cs"/>
          <w:sz w:val="30"/>
          <w:szCs w:val="30"/>
          <w:rtl/>
          <w:lang w:eastAsia="tr-TR"/>
        </w:rPr>
        <w:t>قال الإمام الشافعي في كتابه "الأم" (4|210) في شروط مصالحة أهل الذمة وكتابتها: «على أن ليس لكم أن تظهروا في شيء من أمصار المسلمين الصليب، ولا تعلنوا بالشرك، ولا تبنوا كنيسة، ولا موضع مجتمع لصلاتكم، ولا تضربوا بناقوس، ولا تظهروا قولكم بالشرك في عيسى ابن مريم، ولا في غيره لأحد من المسلمين». وينظر مراتب الإجماع </w:t>
      </w:r>
      <w:r w:rsidRPr="008A06FC">
        <w:rPr>
          <w:rFonts w:ascii="Times New Roman" w:eastAsia="Times New Roman" w:hAnsi="Times New Roman" w:cs="DecoType Naskh" w:hint="cs"/>
          <w:sz w:val="30"/>
          <w:szCs w:val="30"/>
          <w:lang w:eastAsia="tr-TR"/>
        </w:rPr>
        <w:t>(</w:t>
      </w:r>
      <w:r w:rsidRPr="008A06FC">
        <w:rPr>
          <w:rFonts w:ascii="Times New Roman" w:eastAsia="Times New Roman" w:hAnsi="Times New Roman" w:cs="DecoType Naskh" w:hint="cs"/>
          <w:sz w:val="30"/>
          <w:szCs w:val="30"/>
          <w:rtl/>
          <w:lang w:eastAsia="tr-TR"/>
        </w:rPr>
        <w:t>ص115</w:t>
      </w:r>
      <w:r w:rsidRPr="008A06FC">
        <w:rPr>
          <w:rFonts w:ascii="Times New Roman" w:eastAsia="Times New Roman" w:hAnsi="Times New Roman" w:cs="DecoType Naskh" w:hint="cs"/>
          <w:sz w:val="30"/>
          <w:szCs w:val="30"/>
          <w:lang w:eastAsia="tr-TR"/>
        </w:rPr>
        <w:t>).</w:t>
      </w:r>
    </w:p>
    <w:p w:rsidR="00217F55" w:rsidRPr="008A06FC" w:rsidRDefault="00217F55" w:rsidP="008A06FC">
      <w:pPr>
        <w:bidi/>
        <w:spacing w:before="100" w:beforeAutospacing="1" w:after="100" w:afterAutospacing="1" w:line="240" w:lineRule="auto"/>
        <w:jc w:val="both"/>
        <w:rPr>
          <w:rFonts w:ascii="Times New Roman" w:eastAsia="Times New Roman" w:hAnsi="Times New Roman" w:cs="DecoType Naskh"/>
          <w:sz w:val="30"/>
          <w:szCs w:val="30"/>
          <w:lang w:eastAsia="tr-TR"/>
        </w:rPr>
      </w:pPr>
      <w:r w:rsidRPr="008A06FC">
        <w:rPr>
          <w:rFonts w:ascii="Times New Roman" w:eastAsia="Times New Roman" w:hAnsi="Times New Roman" w:cs="DecoType Naskh" w:hint="cs"/>
          <w:sz w:val="30"/>
          <w:szCs w:val="30"/>
          <w:rtl/>
          <w:lang w:eastAsia="tr-TR"/>
        </w:rPr>
        <w:t>وقال الإمام أحمد في رواية ابنه عبد الله: «ليس لليهود ولا للنصارى أن يحدثوا في مصرٍ مصره المسلمون بيعةً ولا كنيسةً، ولا يضربوا فيه بناقوس إلا فيما كان لهم صلحا. وليس لهم أن يُظهروا الخمر في أمصار المسلمين». وفي رواية حنبل: «وإذا كانت الكنائس صلحاً، تُركوا على ما صالحوا عليه. فأما العنوة فلا. وليس لهم أن يحدثوا بيعة ولا كنيسة لم تكن، ولا يضربوا ناقوسا، ولا يرفعوا صليبا، ولا يظهروا خنزيرا، ولا يرفعوا نارا ولا شيئا مما يجوز لهم فعله في دينهم يمنعون من ذلك ولا يتركون». ذكر ذلك ابن القيم ولم أجده في كتاب الخلال. وقال ابن مفلح الحنبلي في "الفروع" (6|276): «ويمنعون وجوباً من إظهار خمر وخنزير. فإن فعلا، أتلفناهما، وإلا فلا. نص عليه (يعني أحمد) -وسبق أول الغصب-، و (يُمنعون من) إظهار عيد وصليب وضرب ناقوس ورفع صوت بكتاب أو على ميت. وقال شيخنا (ابن تيمية): "ومثله إظهار أكل في رمضان". ونص أحمد: "لا يضربون بناقوس"، ومراده والله أعلم: إظهاره. قال في الروضة وغيرها: "ويمنع من التعرض للذمة فيما لم يظهروا</w:t>
      </w:r>
      <w:r w:rsidRPr="008A06FC">
        <w:rPr>
          <w:rFonts w:ascii="Times New Roman" w:eastAsia="Times New Roman" w:hAnsi="Times New Roman" w:cs="DecoType Naskh" w:hint="cs"/>
          <w:sz w:val="30"/>
          <w:szCs w:val="30"/>
          <w:lang w:eastAsia="tr-TR"/>
        </w:rPr>
        <w:t>"».</w:t>
      </w:r>
    </w:p>
    <w:p w:rsidR="00217F55" w:rsidRPr="008A06FC" w:rsidRDefault="00217F55" w:rsidP="008A06FC">
      <w:pPr>
        <w:bidi/>
        <w:spacing w:before="100" w:beforeAutospacing="1" w:after="100" w:afterAutospacing="1" w:line="240" w:lineRule="auto"/>
        <w:jc w:val="both"/>
        <w:rPr>
          <w:rFonts w:ascii="Times New Roman" w:eastAsia="Times New Roman" w:hAnsi="Times New Roman" w:cs="DecoType Naskh"/>
          <w:sz w:val="30"/>
          <w:szCs w:val="30"/>
          <w:lang w:eastAsia="tr-TR"/>
        </w:rPr>
      </w:pPr>
      <w:r w:rsidRPr="008A06FC">
        <w:rPr>
          <w:rFonts w:ascii="Times New Roman" w:eastAsia="Times New Roman" w:hAnsi="Times New Roman" w:cs="DecoType Naskh" w:hint="cs"/>
          <w:sz w:val="30"/>
          <w:szCs w:val="30"/>
          <w:rtl/>
          <w:lang w:eastAsia="tr-TR"/>
        </w:rPr>
        <w:lastRenderedPageBreak/>
        <w:t xml:space="preserve">وقال أبو بكر </w:t>
      </w:r>
      <w:proofErr w:type="spellStart"/>
      <w:r w:rsidRPr="008A06FC">
        <w:rPr>
          <w:rFonts w:ascii="Times New Roman" w:eastAsia="Times New Roman" w:hAnsi="Times New Roman" w:cs="DecoType Naskh" w:hint="cs"/>
          <w:sz w:val="30"/>
          <w:szCs w:val="30"/>
          <w:rtl/>
          <w:lang w:eastAsia="tr-TR"/>
        </w:rPr>
        <w:t>الكاساني</w:t>
      </w:r>
      <w:proofErr w:type="spellEnd"/>
      <w:r w:rsidRPr="008A06FC">
        <w:rPr>
          <w:rFonts w:ascii="Times New Roman" w:eastAsia="Times New Roman" w:hAnsi="Times New Roman" w:cs="DecoType Naskh" w:hint="cs"/>
          <w:sz w:val="30"/>
          <w:szCs w:val="30"/>
          <w:rtl/>
          <w:lang w:eastAsia="tr-TR"/>
        </w:rPr>
        <w:t xml:space="preserve"> الحنفي في "</w:t>
      </w:r>
      <w:proofErr w:type="spellStart"/>
      <w:r w:rsidRPr="008A06FC">
        <w:rPr>
          <w:rFonts w:ascii="Times New Roman" w:eastAsia="Times New Roman" w:hAnsi="Times New Roman" w:cs="DecoType Naskh" w:hint="cs"/>
          <w:sz w:val="30"/>
          <w:szCs w:val="30"/>
          <w:rtl/>
          <w:lang w:eastAsia="tr-TR"/>
        </w:rPr>
        <w:t>بدايع</w:t>
      </w:r>
      <w:proofErr w:type="spellEnd"/>
      <w:r w:rsidRPr="008A06FC">
        <w:rPr>
          <w:rFonts w:ascii="Times New Roman" w:eastAsia="Times New Roman" w:hAnsi="Times New Roman" w:cs="DecoType Naskh" w:hint="cs"/>
          <w:sz w:val="30"/>
          <w:szCs w:val="30"/>
          <w:rtl/>
          <w:lang w:eastAsia="tr-TR"/>
        </w:rPr>
        <w:t xml:space="preserve"> </w:t>
      </w:r>
      <w:proofErr w:type="spellStart"/>
      <w:r w:rsidRPr="008A06FC">
        <w:rPr>
          <w:rFonts w:ascii="Times New Roman" w:eastAsia="Times New Roman" w:hAnsi="Times New Roman" w:cs="DecoType Naskh" w:hint="cs"/>
          <w:sz w:val="30"/>
          <w:szCs w:val="30"/>
          <w:rtl/>
          <w:lang w:eastAsia="tr-TR"/>
        </w:rPr>
        <w:t>الصنايع</w:t>
      </w:r>
      <w:proofErr w:type="spellEnd"/>
      <w:r w:rsidRPr="008A06FC">
        <w:rPr>
          <w:rFonts w:ascii="Times New Roman" w:eastAsia="Times New Roman" w:hAnsi="Times New Roman" w:cs="DecoType Naskh" w:hint="cs"/>
          <w:sz w:val="30"/>
          <w:szCs w:val="30"/>
          <w:rtl/>
          <w:lang w:eastAsia="tr-TR"/>
        </w:rPr>
        <w:t>" (7|114): «لا يُمكّنون من إظهار صليبهم في عيدهم، لأنه إظهار شعائر الكفر، فلا يمكنون من ذلك في أمصار المسلمين. ولو فعلوا ذلك في كنائسهم، لا يُتعرض لهم. وكذا لو ضربوا الناقوس في جوف كنائسهم القديمة لم يتعرض لذلك، لأن إظهار الشعائر لم يتحقق. فإن ضربوا به خارجاً منها، لم يمكنوا منه لما فيه من إظهار الشعائر</w:t>
      </w:r>
      <w:r w:rsidRPr="008A06FC">
        <w:rPr>
          <w:rFonts w:ascii="Times New Roman" w:eastAsia="Times New Roman" w:hAnsi="Times New Roman" w:cs="DecoType Naskh" w:hint="cs"/>
          <w:sz w:val="30"/>
          <w:szCs w:val="30"/>
          <w:lang w:eastAsia="tr-TR"/>
        </w:rPr>
        <w:t>».</w:t>
      </w:r>
    </w:p>
    <w:p w:rsidR="00217F55" w:rsidRPr="008A06FC" w:rsidRDefault="00217F55" w:rsidP="008A06FC">
      <w:pPr>
        <w:bidi/>
        <w:spacing w:before="100" w:beforeAutospacing="1" w:after="100" w:afterAutospacing="1" w:line="240" w:lineRule="auto"/>
        <w:jc w:val="both"/>
        <w:rPr>
          <w:rFonts w:ascii="Times New Roman" w:eastAsia="Times New Roman" w:hAnsi="Times New Roman" w:cs="DecoType Naskh"/>
          <w:sz w:val="30"/>
          <w:szCs w:val="30"/>
          <w:lang w:eastAsia="tr-TR"/>
        </w:rPr>
      </w:pPr>
      <w:r w:rsidRPr="008A06FC">
        <w:rPr>
          <w:rFonts w:ascii="Times New Roman" w:eastAsia="Times New Roman" w:hAnsi="Times New Roman" w:cs="DecoType Naskh" w:hint="cs"/>
          <w:sz w:val="30"/>
          <w:szCs w:val="30"/>
          <w:rtl/>
          <w:lang w:eastAsia="tr-TR"/>
        </w:rPr>
        <w:t>قال الحطاب المالكي في "التاج والإكليل</w:t>
      </w:r>
      <w:r w:rsidRPr="008A06FC">
        <w:rPr>
          <w:rFonts w:ascii="Times New Roman" w:eastAsia="Times New Roman" w:hAnsi="Times New Roman" w:cs="DecoType Naskh" w:hint="cs"/>
          <w:sz w:val="30"/>
          <w:szCs w:val="30"/>
          <w:lang w:eastAsia="tr-TR"/>
        </w:rPr>
        <w:t>" (4|602): «</w:t>
      </w:r>
      <w:r w:rsidRPr="008A06FC">
        <w:rPr>
          <w:rFonts w:ascii="Times New Roman" w:eastAsia="Times New Roman" w:hAnsi="Times New Roman" w:cs="DecoType Naskh" w:hint="cs"/>
          <w:sz w:val="30"/>
          <w:szCs w:val="30"/>
          <w:rtl/>
          <w:lang w:eastAsia="tr-TR"/>
        </w:rPr>
        <w:t>قال ابن حبيب: يمنع الذميون الساكنون مع المسلمين إظهار الخمر والخنزير، وتكسر إن ظهرنا عليها، ويؤدب السكران منهم. وإن أظهروا صلبهم في أعيادهم واستسقائهم، كُسِرَت وأُدّبوا</w:t>
      </w:r>
      <w:r w:rsidRPr="008A06FC">
        <w:rPr>
          <w:rFonts w:ascii="Times New Roman" w:eastAsia="Times New Roman" w:hAnsi="Times New Roman" w:cs="DecoType Naskh" w:hint="cs"/>
          <w:sz w:val="30"/>
          <w:szCs w:val="30"/>
          <w:lang w:eastAsia="tr-TR"/>
        </w:rPr>
        <w:t>».</w:t>
      </w:r>
    </w:p>
    <w:p w:rsidR="00217F55" w:rsidRPr="008A06FC" w:rsidRDefault="00217F55" w:rsidP="008A06FC">
      <w:pPr>
        <w:bidi/>
      </w:pPr>
    </w:p>
    <w:p w:rsidR="00217F55" w:rsidRPr="008A06FC" w:rsidRDefault="00217F55" w:rsidP="008A06FC">
      <w:pPr>
        <w:bidi/>
      </w:pPr>
    </w:p>
    <w:sectPr w:rsidR="00217F55" w:rsidRPr="008A06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DecoType Naskh">
    <w:panose1 w:val="02010400000000000000"/>
    <w:charset w:val="B2"/>
    <w:family w:val="auto"/>
    <w:pitch w:val="variable"/>
    <w:sig w:usb0="00002001" w:usb1="80000000" w:usb2="00000008" w:usb3="00000000" w:csb0="0000004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75E"/>
    <w:rsid w:val="00217F55"/>
    <w:rsid w:val="0069575E"/>
    <w:rsid w:val="008A06F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E2E20"/>
  <w15:chartTrackingRefBased/>
  <w15:docId w15:val="{1EB2B093-9A0E-46B2-BC0C-7404C812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2">
    <w:name w:val="heading 2"/>
    <w:basedOn w:val="Normal"/>
    <w:link w:val="Balk2Char"/>
    <w:uiPriority w:val="9"/>
    <w:qFormat/>
    <w:rsid w:val="00217F5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217F55"/>
    <w:rPr>
      <w:color w:val="0000FF"/>
      <w:u w:val="single"/>
    </w:rPr>
  </w:style>
  <w:style w:type="character" w:customStyle="1" w:styleId="Balk2Char">
    <w:name w:val="Başlık 2 Char"/>
    <w:basedOn w:val="VarsaylanParagrafYazTipi"/>
    <w:link w:val="Balk2"/>
    <w:uiPriority w:val="9"/>
    <w:rsid w:val="00217F55"/>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217F5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8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658</Words>
  <Characters>3752</Characters>
  <Application>Microsoft Office Word</Application>
  <DocSecurity>0</DocSecurity>
  <Lines>31</Lines>
  <Paragraphs>8</Paragraphs>
  <ScaleCrop>false</ScaleCrop>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4</cp:revision>
  <dcterms:created xsi:type="dcterms:W3CDTF">2017-11-05T23:18:00Z</dcterms:created>
  <dcterms:modified xsi:type="dcterms:W3CDTF">2017-11-05T23:27:00Z</dcterms:modified>
</cp:coreProperties>
</file>